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муниципального образования за IV квартала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32194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51925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0" cy="321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0.0pt;height:253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"/>
        <w:gridCol w:w="3030"/>
        <w:gridCol w:w="2520"/>
        <w:gridCol w:w="1690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Красногвардейский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Новооскольский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Борисовский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4023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97.71%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Красненский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97.04%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5169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Волоконовский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Валуйский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11995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Губкинский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95.93%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37295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Вейделевский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3914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Корочанский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12607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Ровеньский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4797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Ивнянский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24215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Прохоровский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5919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6673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Старооскольский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196879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Краснояружский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6627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Яковлевский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88.39%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12834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Шебекинский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87.82%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7135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Ракитянский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87.62%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22704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26265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Грайворонский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3254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муниципального образования за IV квартала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321945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081087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0" cy="321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0.0pt;height:253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"/>
        <w:gridCol w:w="3030"/>
        <w:gridCol w:w="2520"/>
        <w:gridCol w:w="1690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Красногвардейский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Новооскольский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Борисовский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4023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97.71%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Красненский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97.04%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5169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Волоконовский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Валуйский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11995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Губкинский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95.93%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37295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Вейделевский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3914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Корочанский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12607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Ровеньский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4797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Ивнянский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24215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Прохоровский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5919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6673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Старооскольский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196879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Краснояружский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6627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Яковлевский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88.39%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12834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Шебекинский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87.82%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7135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Ракитянский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87.62%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22704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26265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Грайворонский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3254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2022-08-31T16:23:33Z</dcterms:modified>
</cp:coreProperties>
</file>